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63 vom 21. Oktober 2025</w:t>
      </w:r>
    </w:p>
    <w:p>
      <w:r>
        <w:t>GR Gerichte, 2025-10-21, IT</w:t>
      </w:r>
    </w:p>
    <w:p>
      <w:r>
        <w:rPr>
          <w:b/>
        </w:rPr>
        <w:t xml:space="preserve">Quelle: </w:t>
      </w:r>
      <w:r>
        <w:t>https://mcp.opencaselaw.ch/entscheid/gr_gerichte_SBK 2025 63</w:t>
      </w:r>
    </w:p>
    <w:p>
      <w:r>
        <w:t>FR: GR_GERICHTE SBK 2025 63 du 21 octobre 2025</w:t>
      </w:r>
    </w:p>
    <w:p>
      <w:r>
        <w:t>IT: GR_GERICHTE SBK 2025 63 del 21 ottobre 2025</w:t>
      </w:r>
    </w:p>
    <w:p>
      <w:pPr>
        <w:pStyle w:val="Heading2"/>
      </w:pPr>
      <w:r>
        <w:t>Erwägungen</w:t>
      </w:r>
    </w:p>
    <w:p>
      <w:r>
        <w:rPr>
          <w:b/>
        </w:rPr>
        <w:t>E. 3</w:t>
      </w:r>
    </w:p>
    <w:p>
      <w:r>
        <w:t>/ 5 pieno potere cognitivo dalle autorità in ogni stadio della procedura (RIEDO, in: Niggli/Heer/Wiprächtiger [edit.], Basler Kommentar, Schweizerische Strafprozessordnung, 3a ed. 2023, art. 91 n. 68). Nel caso in cui il destinatario dell'invio richieda (e la Posta conceda) un termine prolungato per il ritiro di un invio raccomandato, la regola dei sette giorni rimane di principio valida (sentenza del Tribunale federale 6B_1026/2024 del 26 marzo 2025 consid. 5.2; sentenza del Tribunale cantonale dei Grigioni SK2 19 73 del 26 marzo 2020 consid. 4.2; sentenza del Tribunale cantonale dei Grigioni SK2 24 48 del 9 settembre 2024 consid. 1.3; cfr. inoltre p.a. sentenza del Tribunale d'appello dei Grigioni ZR2 25 28 del 10 luglio 2025 consid. 10.5). 1.3. L'esistenza di un rapporto processuale obbliga le parti a comportarsi secondo i principi della buona fede e in particolare ad assicurarsi che gli atti ufficiali concernenti il procedimento possano essere loro notificati (DTF 146 IV 30 consid. 1.1.2; 141 II 429 consid. 3.1; 138 111 225 consid. 3.1; sentenza del Tribunale federale 6B_1026/2024 del 26 marzo 2025 consid. 4). 1.4. Nella presente fattispecie, il decreto di abbandono parziale della Procura pubblica qui impugnato datato 19 agosto 2025 – munito dei mezzi e dei termini per ricorrere conformemente a quanto previsto dall'art. 81 cpv 1 lett. d CPP (act. B.2) – è stato intimato per raccomandata il 20 agosto 2025 e, come attestato dal relativo tracciamento dell'invio, è giunto al suo recapito il giorno seguente, il 21 agosto 2025; non essendo stato possibile recapitarlo al reclamante, il medesimo giorno la Posta ha emesso un avviso di ritiro che è stato depositato nella casella postale del reclamante. Conformemente all'art. 85 cpv. 4 lett. a CPP ha dunque iniziato a decorrere il termine di giacenza di sette giorni, che è scaduto il 28 agosto 2025. Ora, posto come il reclamante doveva prevedere l'invio di atti giudiziari e considerato che nonostante ciò egli non ha ritirato la missiva, la notifica del decreto di abbandono parziale impugnato è ritenuta avvenuta il 28 agosto 2025 (cfr. per tutto quanto precede act. E.2). Di conseguenza, il termine d'impugnazione di dieci giorni ha iniziato a decorrere il 29 agosto 2025 ed è scaduto in data 8 settembre 2025, sicché il presente reclamo del 3 ottobre 2025 (data del timbro postale), inoltrato ampiamente dopo la scadenza del termine d'impugnazione, è tardivo. Si osserva inoltre che in data 25 agosto 2025 il reclamante – non rappresentato – ha prolungato il termine di giacenza postale sino al 18 settembre 2025 e che – non essendo stata ritirata entro tale termine – la Posta ha retrocesso al mittente il 19 settembre 2025 la missiva. Con scritto datato 24 settembre 2025, la Procura pubblica ha dunque proceduto a una "2a notificazione del decreto di abbandono parziale", specificando tuttavia che ciò non avrebbe ripristinato il termine</w:t>
      </w:r>
    </w:p>
    <w:p>
      <w:r>
        <w:rPr>
          <w:b/>
        </w:rPr>
        <w:t>E. 4</w:t>
      </w:r>
    </w:p>
    <w:p>
      <w:r>
        <w:t>Le parti sostengono le spese della procedura di ricorso nella misura in cui prevalgono o soccombono nella causa (art. 428 cpv. 1 prima frase CPP). È ritenuta soccombente anche la parte sul cui ricorso non si è entrati nel merito (art. 428 cpv. 1 seconda frase CPP). Nella fattispecie il reclamante è risultato integralmente soccombente e pertanto la tassa di giustizia, fissata in CHF 200.00 (art. 7 cpv. 1 OTGPP [CSC 350.210] in combinato disposto con l'art. 7 cpv. 3 OTGPP; art. 38 cpv. 3 LOG), è posta integralmente a suo carico. Non si riconoscono indennità.</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